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351F" w14:textId="415AF4CB" w:rsidR="009E7D42" w:rsidRDefault="009E7D42" w:rsidP="009E7D42">
      <w:pPr>
        <w:keepLines/>
        <w:spacing w:before="56" w:after="0"/>
        <w:ind w:firstLine="453"/>
        <w:jc w:val="center"/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</w:pPr>
      <w:r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Suy luận bằng “cuốn phim trí óc” trong dạy học đọc hiểu văn bản văn học cho học sinh THPT</w:t>
      </w:r>
    </w:p>
    <w:p w14:paraId="596DE936" w14:textId="4E45A8B9" w:rsidR="009E7D42" w:rsidRDefault="009E7D42" w:rsidP="009E7D42">
      <w:pPr>
        <w:keepLines/>
        <w:spacing w:before="56" w:after="0"/>
        <w:ind w:firstLine="453"/>
        <w:jc w:val="right"/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</w:pPr>
      <w:r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THANH TRẦN</w:t>
      </w:r>
      <w:r>
        <w:rPr>
          <w:rStyle w:val="FootnoteReference"/>
          <w:rFonts w:eastAsia="UTM Centur"/>
          <w:b/>
          <w:color w:val="auto"/>
          <w:spacing w:val="-1"/>
          <w:sz w:val="28"/>
          <w:szCs w:val="28"/>
        </w:rPr>
        <w:footnoteReference w:id="1"/>
      </w:r>
    </w:p>
    <w:p w14:paraId="7E0CC230" w14:textId="635ECF7F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1.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ab/>
        <w:t>Đ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ề</w:t>
      </w:r>
    </w:p>
    <w:p w14:paraId="4A82B7B4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là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quá trình đòi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phương pháp,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t.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phát tri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năng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văn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(VBVH)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phương pháp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truy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như thuy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ng, phát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,…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giúp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tác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mà chưa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mình khám phá tác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m.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 (HS) sau quá trình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chưa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phát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đoán,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phân tích, đánh giá tín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mĩ cũng như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thông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m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trong các tác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m. Theo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heo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phát tri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năng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nay, dư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giáo viên trong các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bài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hình thành năng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u.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này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ra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tiên cho giáo viên (GV)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văn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là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cho HS hình thành, rèn luy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các kĩ năng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các em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phát tri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năng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cách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năng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năng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sáng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o.</w:t>
      </w:r>
    </w:p>
    <w:p w14:paraId="13CE4F6E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trong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văn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là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cách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giúp HS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hình thành thói quen văn hóa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nâng cao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 Nhưng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cho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y,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chưa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quan tâm,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chí ít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trong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u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thông.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đó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lí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vì nó là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khó,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dù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Đây chính là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cơ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chúng tôi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đó trong bài báo này.</w:t>
      </w:r>
    </w:p>
    <w:p w14:paraId="6CC9FD09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2. N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-1"/>
          <w:sz w:val="28"/>
          <w:szCs w:val="28"/>
        </w:rPr>
        <w:t>i dung</w:t>
      </w:r>
    </w:p>
    <w:p w14:paraId="1BFD2674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2.1. Cơ s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 xml:space="preserve"> lý thuy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t c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a vi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c suy lu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n phim trí óc” trong d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 xml:space="preserve">u VBVH </w:t>
      </w:r>
    </w:p>
    <w:p w14:paraId="59B8DE12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2.1.1. S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uy lu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 và suy lu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 trong đ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u VBVH</w:t>
      </w:r>
    </w:p>
    <w:p w14:paraId="242C3FA4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xung quanh là nhu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con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xưa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nay. Con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luôn có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tìm tòi, phát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cái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các quy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chân lí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cái đã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t.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làm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đó thì đòi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tư duy con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các phán đoán đã có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rút ra các phán đoán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i. Quá trình đó chính là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</w:t>
      </w:r>
    </w:p>
    <w:p w14:paraId="50924E05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lastRenderedPageBreak/>
        <w:t>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trong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VBVH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là quá trình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trên hai cơ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: Đó là ngôn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ngôn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và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ng.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hai cơ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này,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rút ra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xét, đánh giá, và hình thành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lý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riêng,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đáo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c rút ra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đây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là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thông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nhà văn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nhưng không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trên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câu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.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ý nghĩa, thông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xét, đánh giá và lí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cái hay, cái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Tuy nhiên,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nghĩa sâu xa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huy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nghi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thân và có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GV.</w:t>
      </w:r>
    </w:p>
    <w:p w14:paraId="17C7EEAF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trong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VBVH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phù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xu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giáo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phát tri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năng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nay.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y, HS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ra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thông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cái hay, cái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trong VBVH và lí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nghĩa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đó,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huy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năng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trí tu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và năng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xúc. Quá trình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này thôi thúc HS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tích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không có chuy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khác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áng văn,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thay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thơ hay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câu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thay khi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mà HS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vào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ngôn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hình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cùng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huy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tích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tri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mình.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đó,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phong phú,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nghi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ngh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tích lũy kinh nghi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mĩ và phát tri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ý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ng, tìm tòi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tri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nó vào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quy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trong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ng. Quan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hơn,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trong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VBVH góp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tích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hóa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sinh, phát huy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đa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năng tư duy sáng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và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năng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c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các em. Rõ ràng,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có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ưu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trong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VBVH. Song,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và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nó còn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trong đó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các phương pháp,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khác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nâng cao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khi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trong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VBVH.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là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có tính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thi và ưu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t.</w:t>
      </w:r>
    </w:p>
    <w:p w14:paraId="6C1C7362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2.1.2. Suy lu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 phim tr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í óc”</w:t>
      </w:r>
    </w:p>
    <w:p w14:paraId="1A835F34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lastRenderedPageBreak/>
        <w:t>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ch ra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Anh có tên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là Think-aloud, nghĩa là suy nghĩ và nói to.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là quá trình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quan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và nói to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suy nghĩ đang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ra trong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khi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xúc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câu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ý nghĩa cho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ra thông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tác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là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, hình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nh, câu văn, hình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ng… như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trong tâm trí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theo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m xúc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y,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bư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phá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ngôn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hình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tìm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sâu,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xa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nghĩa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n.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đây,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do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xúc ban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mình, dù đó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là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xúc mang tính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m.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gì lóe lên trong tâm trí, suy nghĩ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khi va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chia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nói ra. Đó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là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trình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trình bày hay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câu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…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u đáng nói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đây là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không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công phu trong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và ít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lưu ý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câu cho đúng chu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mái trong tâm lí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không có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giác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chi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“áp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t”. Như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y,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này, HS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như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nhà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p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chuyên nghi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tin,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do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sáng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ra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phim phong phú, đa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trên “vùng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màu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” -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mà mình đang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óc”, HS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phát tri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tư duy, quan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hơn, là xoá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rào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trong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xúc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HS và giúp HS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xúc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cách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tránh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Theo đó,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HS vào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mã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nghĩa cho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và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soát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thân.</w:t>
      </w:r>
    </w:p>
    <w:p w14:paraId="3CE8173F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hai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cơ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Đó là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nó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và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 nói là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thinkaloud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phát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to lên,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thông qua kênh phát âm. Còn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là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ghi trung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dung đang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ra trong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khi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n”.</w:t>
      </w:r>
    </w:p>
    <w:p w14:paraId="2ED09F0F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lastRenderedPageBreak/>
        <w:t>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phim trí óc”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quay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m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(HS)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ng hình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nh mà các em đang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p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câu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,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m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thông tin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o phán đoán (ho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hoài nghi,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c), hình dung,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làm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y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ngh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n;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hóa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c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p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phân tích,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nghĩa,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p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n.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i,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này còn giúp HS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o liên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, so sánh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đang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khác,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đang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và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n đang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nghi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m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thân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m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o, vun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y ý nghĩa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n, hơn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HS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sáng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o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tác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. Thú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hơn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, trong quá trình này, HS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đưa ra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đoán cho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phát tri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tính cách,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i,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a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t…;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cho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câu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đoán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a mình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ra cho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t, chi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t,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n; xem xét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tác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nói lên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u gì,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cách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thích,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nghĩa -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thông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p ngh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t.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u này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a giúp ích cho HS trong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ý nghĩa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n; giúp HS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m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cái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ẹ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p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n; tránh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HS sai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ng,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trên hành trình khám phá VBVH.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</w:t>
      </w:r>
    </w:p>
    <w:p w14:paraId="1472CDC1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Toàn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lý thuy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trên đây chính là cơ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quan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cho chúng tôi trong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đưa ra cách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trong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u VBVH cho HS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ng THPT. </w:t>
      </w:r>
    </w:p>
    <w:p w14:paraId="134C2DA6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2.2. V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ng Suy lu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n phim trí óc” trong d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b/>
          <w:i/>
          <w:color w:val="auto"/>
          <w:spacing w:val="-1"/>
          <w:sz w:val="28"/>
          <w:szCs w:val="28"/>
        </w:rPr>
        <w:t>u VBVH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 </w:t>
      </w:r>
    </w:p>
    <w:p w14:paraId="6C7FE62F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2.2.1. Cách th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c th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 suy lu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 phim trí óc”</w:t>
      </w:r>
    </w:p>
    <w:p w14:paraId="01AE91B7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y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này vào trong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VBVH, chúng tôi đã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nó thông qua 5 bư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c như sau: </w:t>
      </w:r>
    </w:p>
    <w:p w14:paraId="2118B7AE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Bư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giáo viên căn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vào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tiêu/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dung bài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,…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xác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văn/đo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ch/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thơ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u. GV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xâu chu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ỗ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văn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làm rõ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nào đó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là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mà HS tâm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xu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t. </w:t>
      </w:r>
    </w:p>
    <w:p w14:paraId="4C4B4968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Bư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hai, sau khi, GV phát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và câu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cho HS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 GV làm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bư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cho HS theo dõi.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làm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GV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dành cho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có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HS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trung bình, 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(kém). Còn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có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HS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khá,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thì GV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cho HS khá (gi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i) làm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u.</w:t>
      </w:r>
    </w:p>
    <w:p w14:paraId="7F4BF84A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lastRenderedPageBreak/>
        <w:t>Bư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ba, HS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văn văn/ thơ và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các tín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mĩ,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sáng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mĩ liên quan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huy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nghi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thân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đoán, hình dung,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ng,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liên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so sánh,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thân,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khác,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ng. HS trình bày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suy nghĩ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h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cách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vào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trong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p. Trên cơ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nhìn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dung thinkaloud đó, HS rút ra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xét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p, đánh giá ban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HS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(gi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u, ngôn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t, hình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nh...)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tác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ra trong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 văn. Các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đưa ra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xét, đánh giá ban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vào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làm toát lên nét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trong phong cách ngh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tác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và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VBVH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là sát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tiêu bài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</w:t>
      </w:r>
    </w:p>
    <w:p w14:paraId="20812319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Bư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HS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lư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trình bày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mình. Trong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khi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HS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nói to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suy nghĩ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ra trong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xúc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theo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ý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GV qua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tình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các câu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đó rút ra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dung, ý nghĩa và đưa ra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ng đánh giá ban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mình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. HS còn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nghe,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xét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theo các tiêu chí,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sung vào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đánh giá đó.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ab/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ab/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ab/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ab/>
      </w:r>
    </w:p>
    <w:p w14:paraId="152C456F" w14:textId="3F431EE9" w:rsidR="00F636A9" w:rsidRDefault="00BD1E25">
      <w:pPr>
        <w:keepLines/>
        <w:spacing w:before="56" w:after="0"/>
        <w:ind w:firstLine="453"/>
        <w:jc w:val="center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M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u phi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u dành cho HS l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ng nghe và đánh giá “cu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 phim” c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</w:t>
      </w:r>
    </w:p>
    <w:p w14:paraId="0D05A8B0" w14:textId="2D252BD3" w:rsidR="009E7D42" w:rsidRDefault="009E7D42">
      <w:pPr>
        <w:keepLines/>
        <w:spacing w:before="56" w:after="0"/>
        <w:ind w:firstLine="453"/>
        <w:jc w:val="center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86"/>
        <w:gridCol w:w="1812"/>
        <w:gridCol w:w="885"/>
        <w:gridCol w:w="1131"/>
        <w:gridCol w:w="879"/>
      </w:tblGrid>
      <w:tr w:rsidR="00CF3E99" w:rsidRPr="00CF3E99" w14:paraId="1D079A09" w14:textId="77777777" w:rsidTr="00CF3E99">
        <w:trPr>
          <w:trHeight w:val="249"/>
        </w:trPr>
        <w:tc>
          <w:tcPr>
            <w:tcW w:w="4786" w:type="dxa"/>
          </w:tcPr>
          <w:p w14:paraId="469073C5" w14:textId="77777777" w:rsidR="00CF3E99" w:rsidRPr="00CF3E99" w:rsidRDefault="00CF3E99" w:rsidP="00CF3E99">
            <w:pPr>
              <w:spacing w:after="148" w:line="276" w:lineRule="auto"/>
              <w:ind w:right="6" w:firstLine="0"/>
              <w:jc w:val="left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</w:tcPr>
          <w:p w14:paraId="2EB6274E" w14:textId="77777777" w:rsidR="00CF3E99" w:rsidRPr="00CF3E99" w:rsidRDefault="00CF3E99" w:rsidP="00CF3E99">
            <w:pPr>
              <w:spacing w:after="148" w:line="276" w:lineRule="auto"/>
              <w:ind w:right="6" w:firstLine="0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Nhận xét về cuốn phim trí óc</w:t>
            </w:r>
          </w:p>
        </w:tc>
        <w:tc>
          <w:tcPr>
            <w:tcW w:w="885" w:type="dxa"/>
          </w:tcPr>
          <w:p w14:paraId="1D0EB3E7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Dẫn chứng</w:t>
            </w:r>
          </w:p>
        </w:tc>
        <w:tc>
          <w:tcPr>
            <w:tcW w:w="1131" w:type="dxa"/>
          </w:tcPr>
          <w:p w14:paraId="58187338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Bổ sung</w:t>
            </w:r>
          </w:p>
        </w:tc>
        <w:tc>
          <w:tcPr>
            <w:tcW w:w="879" w:type="dxa"/>
          </w:tcPr>
          <w:p w14:paraId="3D08FE11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Điểm</w:t>
            </w:r>
          </w:p>
        </w:tc>
      </w:tr>
      <w:tr w:rsidR="00CF3E99" w:rsidRPr="00CF3E99" w14:paraId="67F5EF90" w14:textId="77777777" w:rsidTr="00CF3E99">
        <w:trPr>
          <w:trHeight w:val="745"/>
        </w:trPr>
        <w:tc>
          <w:tcPr>
            <w:tcW w:w="4786" w:type="dxa"/>
          </w:tcPr>
          <w:p w14:paraId="47AD062A" w14:textId="77777777" w:rsidR="00CF3E99" w:rsidRPr="00CF3E99" w:rsidRDefault="00CF3E99" w:rsidP="00CF3E99">
            <w:pPr>
              <w:spacing w:after="148" w:line="276" w:lineRule="auto"/>
              <w:ind w:right="6" w:firstLine="0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Phát hiện được các tín hiệu thẩm mĩ trong văn bản</w:t>
            </w:r>
          </w:p>
        </w:tc>
        <w:tc>
          <w:tcPr>
            <w:tcW w:w="1812" w:type="dxa"/>
          </w:tcPr>
          <w:p w14:paraId="53D24A41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</w:tcPr>
          <w:p w14:paraId="45778704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14:paraId="15837168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14:paraId="6EA26B29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CF3E99" w:rsidRPr="00CF3E99" w14:paraId="4F5B5746" w14:textId="77777777" w:rsidTr="00CF3E99">
        <w:trPr>
          <w:trHeight w:val="247"/>
        </w:trPr>
        <w:tc>
          <w:tcPr>
            <w:tcW w:w="4786" w:type="dxa"/>
          </w:tcPr>
          <w:p w14:paraId="60F46843" w14:textId="77777777" w:rsidR="00CF3E99" w:rsidRPr="00CF3E99" w:rsidRDefault="00CF3E99" w:rsidP="00CF3E99">
            <w:pPr>
              <w:spacing w:after="148" w:line="276" w:lineRule="auto"/>
              <w:ind w:right="6" w:firstLine="0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Nắm bắt được vấn đề</w:t>
            </w:r>
          </w:p>
        </w:tc>
        <w:tc>
          <w:tcPr>
            <w:tcW w:w="1812" w:type="dxa"/>
          </w:tcPr>
          <w:p w14:paraId="1B50C356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</w:tcPr>
          <w:p w14:paraId="04626A6D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14:paraId="4E998335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14:paraId="724B5727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CF3E99" w:rsidRPr="00CF3E99" w14:paraId="190CA303" w14:textId="77777777" w:rsidTr="00CF3E99">
        <w:trPr>
          <w:trHeight w:val="247"/>
        </w:trPr>
        <w:tc>
          <w:tcPr>
            <w:tcW w:w="4786" w:type="dxa"/>
          </w:tcPr>
          <w:p w14:paraId="7E2FE5AD" w14:textId="77777777" w:rsidR="00CF3E99" w:rsidRPr="00CF3E99" w:rsidRDefault="00CF3E99" w:rsidP="00CF3E99">
            <w:pPr>
              <w:spacing w:after="148" w:line="276" w:lineRule="auto"/>
              <w:ind w:right="6" w:firstLine="0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Dự đoán về vấn đề sẽ diễn ra</w:t>
            </w:r>
          </w:p>
        </w:tc>
        <w:tc>
          <w:tcPr>
            <w:tcW w:w="1812" w:type="dxa"/>
          </w:tcPr>
          <w:p w14:paraId="0E8B2878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</w:tcPr>
          <w:p w14:paraId="0B9C3892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14:paraId="0332FCA1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14:paraId="561259D2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CF3E99" w:rsidRPr="00CF3E99" w14:paraId="68E55A5C" w14:textId="77777777" w:rsidTr="00CF3E99">
        <w:trPr>
          <w:trHeight w:val="162"/>
        </w:trPr>
        <w:tc>
          <w:tcPr>
            <w:tcW w:w="4786" w:type="dxa"/>
          </w:tcPr>
          <w:p w14:paraId="14D66CC7" w14:textId="77777777" w:rsidR="00CF3E99" w:rsidRPr="00CF3E99" w:rsidRDefault="00CF3E99" w:rsidP="00CF3E99">
            <w:pPr>
              <w:spacing w:after="148" w:line="276" w:lineRule="auto"/>
              <w:ind w:right="6" w:firstLine="0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Giải thích, cắt nghĩa vấn đề</w:t>
            </w:r>
          </w:p>
        </w:tc>
        <w:tc>
          <w:tcPr>
            <w:tcW w:w="1812" w:type="dxa"/>
          </w:tcPr>
          <w:p w14:paraId="0117DB19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</w:tcPr>
          <w:p w14:paraId="0B3D0888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14:paraId="3F7CF098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14:paraId="3726DC7C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CF3E99" w:rsidRPr="00CF3E99" w14:paraId="026F1769" w14:textId="77777777" w:rsidTr="00CF3E99">
        <w:trPr>
          <w:trHeight w:val="162"/>
        </w:trPr>
        <w:tc>
          <w:tcPr>
            <w:tcW w:w="4786" w:type="dxa"/>
          </w:tcPr>
          <w:p w14:paraId="41C8690B" w14:textId="77777777" w:rsidR="00CF3E99" w:rsidRPr="00CF3E99" w:rsidRDefault="00CF3E99" w:rsidP="00CF3E99">
            <w:pPr>
              <w:spacing w:after="148" w:line="276" w:lineRule="auto"/>
              <w:ind w:right="459" w:firstLine="0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Liên hệ, so sánh</w:t>
            </w:r>
          </w:p>
        </w:tc>
        <w:tc>
          <w:tcPr>
            <w:tcW w:w="1812" w:type="dxa"/>
          </w:tcPr>
          <w:p w14:paraId="40729ADF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</w:tcPr>
          <w:p w14:paraId="07AC289E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14:paraId="729EF370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14:paraId="56EDF8D0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CF3E99" w:rsidRPr="00CF3E99" w14:paraId="091BB933" w14:textId="77777777" w:rsidTr="00CF3E99">
        <w:trPr>
          <w:trHeight w:val="162"/>
        </w:trPr>
        <w:tc>
          <w:tcPr>
            <w:tcW w:w="4786" w:type="dxa"/>
          </w:tcPr>
          <w:p w14:paraId="7AE1D46F" w14:textId="77777777" w:rsidR="00CF3E99" w:rsidRPr="00CF3E99" w:rsidRDefault="00CF3E99" w:rsidP="00CF3E99">
            <w:pPr>
              <w:spacing w:after="148" w:line="276" w:lineRule="auto"/>
              <w:ind w:right="459" w:firstLine="0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CF3E99">
              <w:rPr>
                <w:color w:val="000000"/>
                <w:sz w:val="26"/>
                <w:szCs w:val="26"/>
              </w:rPr>
              <w:t>Nhận xét, đánh giá</w:t>
            </w:r>
          </w:p>
        </w:tc>
        <w:tc>
          <w:tcPr>
            <w:tcW w:w="1812" w:type="dxa"/>
          </w:tcPr>
          <w:p w14:paraId="449F967F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</w:tcPr>
          <w:p w14:paraId="395D4D65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</w:tcPr>
          <w:p w14:paraId="4B6EEB91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</w:tcPr>
          <w:p w14:paraId="794FE546" w14:textId="77777777" w:rsidR="00CF3E99" w:rsidRPr="00CF3E99" w:rsidRDefault="00CF3E99" w:rsidP="00CF3E99">
            <w:pPr>
              <w:spacing w:after="148" w:line="276" w:lineRule="auto"/>
              <w:ind w:right="6" w:firstLine="0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</w:tbl>
    <w:p w14:paraId="645F6AA5" w14:textId="77777777" w:rsidR="009E7D42" w:rsidRPr="009E7D42" w:rsidRDefault="009E7D42" w:rsidP="00CF3E99">
      <w:pPr>
        <w:keepLines/>
        <w:spacing w:before="56" w:after="0"/>
        <w:ind w:firstLine="0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</w:p>
    <w:p w14:paraId="5E707483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Bư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năm, GV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xét, đánh giá thái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và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HS,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</w:t>
      </w:r>
    </w:p>
    <w:p w14:paraId="1B32A07B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2.2.2. Ví d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 xml:space="preserve"> minh h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a</w:t>
      </w:r>
    </w:p>
    <w:p w14:paraId="3133BAB6" w14:textId="345B7348" w:rsidR="00F636A9" w:rsidRPr="009E7D42" w:rsidRDefault="00BD1E25" w:rsidP="00CF3E99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lastRenderedPageBreak/>
        <w:t>Dư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đây là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ví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GV làm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cho HS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trong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văn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truy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“V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A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” (Tô Hoài)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chương trình SGK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văn 12,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p </w:t>
      </w:r>
      <w:r w:rsidR="00CF3E99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2.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“Ai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xa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có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vào nhà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lí Pá Tra thư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trông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có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cô con gái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quay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gai bên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đá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tàu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a” (Nhân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là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t cô gái.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xu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hành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quay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bên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đá,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tàu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a. Công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quay tơ cho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cô gái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núi phía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 Bên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đá,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tàu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sao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miêu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kĩ lư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trí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làm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cô gái này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? Mà sao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là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đá, tà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mà không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là hình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khác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? Ý gì?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xem câu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theo ra sao). “Lúc nào cũng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y, dù quay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thái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a,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hay đi cõng nư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khe su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lên,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cũng cúi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i.” (Ôi!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làm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c, không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ỗ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quay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mà còn thái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a,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cõng nư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khe su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su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lên. Nhà văn li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kê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công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c mà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làm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. Cõng nư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khe su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lên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y là con gái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vùng cao. Nhưng sao côn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g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mà sao cô gái cũng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làm, thư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là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con trai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.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giác cô này làm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su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ngày, su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tháng và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hay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ẹ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làm. Câu trên miêu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tàu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a, câu này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nói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a, ý gì liên quan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cô gái.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chăng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 nói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như “con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a”. “Con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a”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vâng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làm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sao cô gái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làm gì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lúc nào cũng cúi,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i?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trong lòng,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không có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chia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thì khuôn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t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in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ỗ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như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y.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nhưng không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nói. Khuôn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khuôn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như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khóc,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có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chia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và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u). “Ngư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ta thư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nói: nhà Pá Tra làm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lí, ăn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dân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Tây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cho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bán, giàu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nhà có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nương,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làng.” (Ui! Nhà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lí Pá Tra theo Pháp thì giàu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nào là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nương,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sao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trong nhà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lí Pá Tra giàu có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vùng mà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như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? Đã làm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lí thì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cai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bá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vùng,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ẳ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quy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uy đây.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giàu là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theo Tây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xâm lư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và ăn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dân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a. Làm tay sai cho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thù,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là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ẻ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có lòng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tham lam,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ác,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hách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đây.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u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a,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gây nghi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n, gây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giác cho con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i…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tĩnh như không có chuy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gì x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y ra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đây.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này cho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y, chuy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ăn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dân đã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thành thói quen, không có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gì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bàn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a,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nhiên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i. Nên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may không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quan tâm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vì sao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n). “Th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thì con gái nó còn bao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xem cái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mà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mà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n.” (Theo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thì đúng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nhà giàu, quy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uy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thì con gái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làm sao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mà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Nhưng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này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là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li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có đúng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không?). “Nhưng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ra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rõ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không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con gái nhà Pá Tra: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là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A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con trai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lí Pá Tra.” (Rõ ràng,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đã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m.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“h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đáp” qua ngôn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ngôi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ba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t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khách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lastRenderedPageBreak/>
        <w:t>quan,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chí có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lùng. Nhà văn đã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ra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thú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gây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cho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cho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con gái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quan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nhà giàu khác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ẳ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con dâu.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nguyên nhân do đâ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mà cô con dâu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và làm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như “súc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t” như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y?).</w:t>
      </w:r>
    </w:p>
    <w:p w14:paraId="288EAB97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văn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tác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“V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A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” (Tô Hoài) đã hé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chân dung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con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đau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cam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 Trong lòng luôn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tâm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u 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cô đơn, tuy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ng. Cô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như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ỗ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máy - công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lao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ói mà không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nói ngay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cõi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i. Ngôn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nhà văn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màu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núi phía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chút gì đó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t hoang sơ, bí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đa thanh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êm như ru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da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i. Khi khách quan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khi bình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khi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đáp đan xen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ng: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dân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Ngài “Ngư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ta thư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nói”-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-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ngôi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ba,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-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xu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tác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mà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như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đá,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tàu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a,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cúi, bu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và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làm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này sang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khác.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không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lên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nhưng tư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nét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là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ngôn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cơ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tâm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cho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khúc. Nó báo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“lát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t”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gh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p,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mâu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ng bi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con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i,…</w:t>
      </w:r>
    </w:p>
    <w:p w14:paraId="04598F0F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2.2.3. Yêu c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i/>
          <w:color w:val="auto"/>
          <w:spacing w:val="-1"/>
          <w:sz w:val="28"/>
          <w:szCs w:val="28"/>
        </w:rPr>
        <w:t>u</w:t>
      </w:r>
    </w:p>
    <w:p w14:paraId="7AD1E5B2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óc”,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khi cho HS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hành chi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GV nên đưa ra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tiêu,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tránh xây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phát.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ẳ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như hãy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này và cung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em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chân dung, suy nghĩ, hành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hay thái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t,…</w:t>
      </w:r>
    </w:p>
    <w:p w14:paraId="6165E728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o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tiêu chí như: dung lư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đa là 2 trang (thông thư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là trong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vi 1 trang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trang);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là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hay,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bó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dung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trong bài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c.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quá dài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sinh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trung và không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o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gian quy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1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c.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không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liên quan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đơn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cơ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n, chi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lãng phí và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sinh cũng không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n.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do giáo viên, cũng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do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xu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sinh và giáo viên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ng. Và không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lúc nào cũng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ẳ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 văn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mang tính liên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c, GV hoàn toàn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linh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các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vào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HS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làm rõ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nào đó. Đơn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, tìm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đàn bà trong “Chi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thuy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ngoài xa” (Nguy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Minh Châu), GV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hai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n,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câu chuy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i đàn bà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tòa án 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và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tác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m. Sau đó, lư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câu văn,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văn liên quan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đoàn bà và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HS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phim trí óc.</w:t>
      </w:r>
    </w:p>
    <w:p w14:paraId="1D61CF5C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lastRenderedPageBreak/>
        <w:t>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o: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phát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ra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tín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mĩ.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nghĩa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t.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“kho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ng”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và lí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i,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phán đoán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thân. Vì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HS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ng, tích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sáng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o, GV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đưa ra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ng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tiêu chí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HS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theo dõi,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sung trong quá trình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và nghe phát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bè như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dành cho HS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nghe và đánh giá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phim”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trên đây. Tương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y, GV cũng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xây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thêm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đánh giá cho HS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đánh giá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theo tiêu chí như đã đánh giá các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trên. HS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sung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gì mình còn thi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và có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so sánh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các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nhau, mà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sót, hay phát huy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ưu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mình trong quá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rình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c.</w:t>
      </w:r>
    </w:p>
    <w:p w14:paraId="4C5CD07E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Quá trình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óc”, GV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đóng vai là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c,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ỗ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HS khi các em lúng túng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lúc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t. Vì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p, có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HS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trung bình, 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(kém), GV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làm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cho HS theo dõi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còn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sau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các em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làm. Còn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mà HS có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năng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GV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HS đóng vai MC -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t, kích thích các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khác “phát phim” thay GV. Trong quá trình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t này, GV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khuy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khích HS này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ngôn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nói, kèm theo ngôn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cơ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(c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nét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t…)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kích thích,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vũ cho các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trình bày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mình. Ngoài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HS đóng vai MC này, GV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thêm 1 HS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ghi âm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phim”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các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n. </w:t>
      </w:r>
    </w:p>
    <w:p w14:paraId="1FB743F9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làm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cho HS theo dõi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sau khi quan sát HS làm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u,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GV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HS làm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thì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phân tích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HS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rõ quá trình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x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ra bên trong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ỗ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cá nhân như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nào. GV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ho HS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ra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lên xu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trong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khác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nói khi trình bày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các em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nh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nói,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mình khi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hành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này. Cùng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đó, GV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cho HS cách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nghe và x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lý thô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tin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đánh giá,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xét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phim”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theo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mà GV đã phát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đó.</w:t>
      </w:r>
    </w:p>
    <w:p w14:paraId="54B764E6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ưu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là HS có cơ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ra thông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tác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. Tuy nhiên, quá trình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và nói ra suy nghĩ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p, không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cao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câu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nên HS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sa vào suy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dung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hóa ý nghĩa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VBVH. Do đó,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phát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mình, GV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HS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p,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ý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trình bày và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ra ý nghĩa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có căn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,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ngu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ồ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các tín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mĩ đã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phát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trong quá trình va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vào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</w:t>
      </w:r>
    </w:p>
    <w:p w14:paraId="1AA6A34C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lastRenderedPageBreak/>
        <w:t>Giáo viên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tiên là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giúp HS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VBVH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i.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theo,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này còn là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HS có cơ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mà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su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mã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ý nghĩa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VBVH.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y nên,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phim trí óc”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ra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khi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n. Quá trình thi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Phi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p cho HS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GV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ra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cho HS.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ẳ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khi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tìm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u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đàn bà làng chài, GV sau khi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n, xâu chu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ỗ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câu văn,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ra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câu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i như: </w:t>
      </w:r>
    </w:p>
    <w:p w14:paraId="05D368FD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Hãy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và huy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xúc,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nghi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thân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hình dung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đàn bà hàng chài.</w:t>
      </w:r>
    </w:p>
    <w:p w14:paraId="1A6F653D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Xây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t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i đàn bà, Nguy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Minh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hâu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 nói lên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u gì? </w:t>
      </w:r>
    </w:p>
    <w:p w14:paraId="3E8B98E5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Đánh giá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em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quan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m, tư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ng đó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>a nhà văn?</w:t>
      </w:r>
    </w:p>
    <w:p w14:paraId="0C756AD4" w14:textId="77777777" w:rsidR="00F636A9" w:rsidRPr="009E7D42" w:rsidRDefault="00BD1E25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p, GV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yêu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HS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và hình dung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nhân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thì hãy lưu ý cho HS sau khi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xong toàn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trích,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nhìn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và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hành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ra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khái quát. Đây là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thao tác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quan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ng,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không chú ý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làm cho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nên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n,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t,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tính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n.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phim trí óc” là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n,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và đi vào phá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bài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c.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-1"/>
          <w:sz w:val="28"/>
          <w:szCs w:val="28"/>
        </w:rPr>
        <w:t xml:space="preserve"> </w:t>
      </w:r>
    </w:p>
    <w:p w14:paraId="49904550" w14:textId="5D55608F" w:rsidR="00CF3E99" w:rsidRDefault="00BD1E25" w:rsidP="00CF3E99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b/>
          <w:color w:val="auto"/>
          <w:spacing w:val="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1"/>
          <w:sz w:val="28"/>
          <w:szCs w:val="28"/>
        </w:rPr>
        <w:t>3.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1"/>
          <w:sz w:val="28"/>
          <w:szCs w:val="28"/>
        </w:rPr>
        <w:tab/>
        <w:t>K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1"/>
          <w:sz w:val="28"/>
          <w:szCs w:val="28"/>
        </w:rPr>
        <w:t>t lu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b/>
          <w:color w:val="auto"/>
          <w:spacing w:val="1"/>
          <w:sz w:val="28"/>
          <w:szCs w:val="28"/>
        </w:rPr>
        <w:t>n</w:t>
      </w:r>
      <w:r w:rsidR="00CF3E99">
        <w:rPr>
          <w:rStyle w:val="Normal1"/>
          <w:rFonts w:ascii="Times New Roman" w:eastAsia="UTM Centur" w:hAnsi="Times New Roman" w:cs="Times New Roman"/>
          <w:b/>
          <w:color w:val="auto"/>
          <w:spacing w:val="1"/>
          <w:sz w:val="28"/>
          <w:szCs w:val="28"/>
        </w:rPr>
        <w:t xml:space="preserve"> </w:t>
      </w:r>
    </w:p>
    <w:p w14:paraId="1FAF3AC9" w14:textId="5FF15D2C" w:rsidR="00F636A9" w:rsidRPr="00CF3E99" w:rsidRDefault="00BD1E25" w:rsidP="00CF3E99">
      <w:pPr>
        <w:keepLines/>
        <w:spacing w:before="56" w:after="0"/>
        <w:ind w:firstLine="453"/>
        <w:rPr>
          <w:rStyle w:val="TacGia"/>
          <w:rFonts w:eastAsia="UTM Centur"/>
          <w:b/>
          <w:caps w:val="0"/>
          <w:spacing w:val="1"/>
          <w:sz w:val="28"/>
          <w:szCs w:val="28"/>
        </w:rPr>
      </w:pP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lastRenderedPageBreak/>
        <w:t>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ẳ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nh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ng,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phim trí óc” trong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u VBVH cho HS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ổ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thông là vô cùng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.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t này là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ỗ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nó mô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quá trình bê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trong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m kín, riêng tư (nh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hoài nghi,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tiên đoán,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câu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và phán xét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)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ra bên ngoài giúp cho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sinh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dàng quan sát,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di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hình (câu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, thông tin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t, hình dung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,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ng,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hóa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n,...), giúp cho GV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dàng đánh giá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lư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 HS, theo đó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ch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ỉ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nh,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nh hư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cho phù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c. GV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cũng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ễ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tiêu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ch bài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y vì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n phim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trí óc”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“t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o công ăn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làm” khá thú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ị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cho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sinh, tránh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HS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n, vay mư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m xúc,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qu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y cô,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 ngư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khác ho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ghi chép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sách tham kh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o,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Internet. Nói cách khác, HS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lĩnh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VB thì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tác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m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cách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và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tích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c,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có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câu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hay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ra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câu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i. HS ph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 xúc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 ngôn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,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 hình tư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trong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n, huy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nghi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m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 mình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phán đoán,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thích,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nghĩa, đánh giá,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m bình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đó liên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,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đang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khác, k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đang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ng,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thân HS thì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làm cho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giàu có hơn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ý nghĩa cũng như rút ra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thông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 tác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mu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m qua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n,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ừ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đó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chúng vào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gi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quy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tình 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trong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ng. Như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y,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suy lu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“Cu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phim trí óc” trong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VBVH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ẽ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đào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o ra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tích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l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p, sáng t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o làm vi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ớ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văn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trong và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ngoài nhà trư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ờ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ng,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bi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ệ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ki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m soát, nh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rõ v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quá trình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 mình. Đi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ề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này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quan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và c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thi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trong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tiêu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y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Chương trình giáo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2018. Hơn n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ữ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a, quá trình s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d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kĩ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ậ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này trong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VBVH, b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- HS thu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ầ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n 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ụ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kĩ năng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hi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u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ằ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ọ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là m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t quá trình lao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ộ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nghiêm túc, th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ỏ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a mãn đư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ợ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c đam mê, h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ứ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ng thú nhưng cũng 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ặ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p không ít tr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ở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ng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ạ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i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ể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 đ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>ế</w:t>
      </w:r>
      <w:r w:rsidRPr="009E7D42">
        <w:rPr>
          <w:rStyle w:val="Normal1"/>
          <w:rFonts w:ascii="Times New Roman" w:eastAsia="UTM Centur" w:hAnsi="Times New Roman" w:cs="Times New Roman"/>
          <w:color w:val="auto"/>
          <w:spacing w:val="1"/>
          <w:sz w:val="28"/>
          <w:szCs w:val="28"/>
        </w:rPr>
        <w:t xml:space="preserve">n đích. </w:t>
      </w:r>
    </w:p>
    <w:sectPr w:rsidR="00F636A9" w:rsidRPr="00CF3E99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CB71" w14:textId="77777777" w:rsidR="00BD1E25" w:rsidRDefault="00BD1E25" w:rsidP="009E7D42">
      <w:pPr>
        <w:spacing w:after="0" w:line="240" w:lineRule="auto"/>
      </w:pPr>
      <w:r>
        <w:separator/>
      </w:r>
    </w:p>
  </w:endnote>
  <w:endnote w:type="continuationSeparator" w:id="0">
    <w:p w14:paraId="50B6EE8E" w14:textId="77777777" w:rsidR="00BD1E25" w:rsidRDefault="00BD1E25" w:rsidP="009E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BC50" w14:textId="77777777" w:rsidR="00BD1E25" w:rsidRDefault="00BD1E25" w:rsidP="009E7D42">
      <w:pPr>
        <w:spacing w:after="0" w:line="240" w:lineRule="auto"/>
      </w:pPr>
      <w:r>
        <w:separator/>
      </w:r>
    </w:p>
  </w:footnote>
  <w:footnote w:type="continuationSeparator" w:id="0">
    <w:p w14:paraId="595303A4" w14:textId="77777777" w:rsidR="00BD1E25" w:rsidRDefault="00BD1E25" w:rsidP="009E7D42">
      <w:pPr>
        <w:spacing w:after="0" w:line="240" w:lineRule="auto"/>
      </w:pPr>
      <w:r>
        <w:continuationSeparator/>
      </w:r>
    </w:p>
  </w:footnote>
  <w:footnote w:id="1">
    <w:p w14:paraId="616691C1" w14:textId="72FBC1B5" w:rsidR="009E7D42" w:rsidRDefault="009E7D42">
      <w:pPr>
        <w:pStyle w:val="FootnoteText"/>
      </w:pPr>
      <w:r>
        <w:rPr>
          <w:rStyle w:val="FootnoteReference"/>
        </w:rPr>
        <w:footnoteRef/>
      </w:r>
      <w:r>
        <w:t xml:space="preserve"> GV trường THPT Lê Hữu Trác, Cuwmgar; Đắk Lắk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6A9"/>
    <w:rsid w:val="009E7D42"/>
    <w:rsid w:val="00BD1E25"/>
    <w:rsid w:val="00CF3E99"/>
    <w:rsid w:val="00EA4107"/>
    <w:rsid w:val="00F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DE9A"/>
  <w15:docId w15:val="{E6F7FBA7-A99B-46E0-A328-6FD70A3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D4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D42"/>
  </w:style>
  <w:style w:type="character" w:styleId="FootnoteReference">
    <w:name w:val="footnote reference"/>
    <w:basedOn w:val="DefaultParagraphFont"/>
    <w:uiPriority w:val="99"/>
    <w:semiHidden/>
    <w:unhideWhenUsed/>
    <w:rsid w:val="009E7D42"/>
    <w:rPr>
      <w:vertAlign w:val="superscript"/>
    </w:rPr>
  </w:style>
  <w:style w:type="table" w:styleId="TableGrid">
    <w:name w:val="Table Grid"/>
    <w:basedOn w:val="TableNormal"/>
    <w:uiPriority w:val="39"/>
    <w:rsid w:val="00CF3E99"/>
    <w:pPr>
      <w:textAlignment w:val="auto"/>
    </w:pPr>
    <w:rPr>
      <w:rFonts w:ascii="Calibri" w:eastAsia="Calibri" w:hAnsi="Calibri"/>
      <w:color w:val="auto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2022-1E72-4798-8D25-AA386F6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HH</cp:lastModifiedBy>
  <cp:revision>2</cp:revision>
  <dcterms:created xsi:type="dcterms:W3CDTF">2022-03-10T02:46:00Z</dcterms:created>
  <dcterms:modified xsi:type="dcterms:W3CDTF">2022-03-10T02:57:00Z</dcterms:modified>
</cp:coreProperties>
</file>