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E8" w:rsidRPr="00AD35E8" w:rsidRDefault="00AD35E8" w:rsidP="00AD35E8">
      <w:pPr>
        <w:rPr>
          <w:b/>
        </w:rPr>
      </w:pPr>
      <w:r w:rsidRPr="00AD35E8">
        <w:rPr>
          <w:b/>
        </w:rPr>
        <w:t>Phong trào phản đối chiến tranh thế giới trên báo chí cách mạng Trung kỳ</w:t>
      </w:r>
    </w:p>
    <w:p w:rsidR="00AD35E8" w:rsidRDefault="00AD35E8" w:rsidP="00AD35E8">
      <w:pPr>
        <w:jc w:val="center"/>
        <w:rPr>
          <w:b/>
        </w:rPr>
      </w:pPr>
      <w:r w:rsidRPr="00AD35E8">
        <w:rPr>
          <w:b/>
        </w:rPr>
        <w:t xml:space="preserve">giai đoạn 1936 </w:t>
      </w:r>
      <w:r>
        <w:rPr>
          <w:b/>
        </w:rPr>
        <w:t>–</w:t>
      </w:r>
      <w:r w:rsidRPr="00AD35E8">
        <w:rPr>
          <w:b/>
        </w:rPr>
        <w:t xml:space="preserve"> 1939</w:t>
      </w:r>
    </w:p>
    <w:p w:rsidR="00AD35E8" w:rsidRPr="00AD35E8" w:rsidRDefault="00AD35E8" w:rsidP="00AD35E8">
      <w:pPr>
        <w:jc w:val="right"/>
        <w:rPr>
          <w:b/>
        </w:rPr>
      </w:pPr>
      <w:r>
        <w:rPr>
          <w:b/>
        </w:rPr>
        <w:t>Nguyễn Thị Thanh Huyền</w:t>
      </w:r>
    </w:p>
    <w:p w:rsidR="00AD35E8" w:rsidRPr="00116699" w:rsidRDefault="00AD35E8" w:rsidP="00AD35E8">
      <w:pPr>
        <w:jc w:val="both"/>
        <w:rPr>
          <w:b/>
        </w:rPr>
      </w:pPr>
      <w:r w:rsidRPr="00116699">
        <w:rPr>
          <w:b/>
        </w:rPr>
        <w:t>Giai đoạn 1936 - 1939, khi tình hình thế giới đang có những biến động lớn, chủ nghĩa phát xít đang đe dọa hòa bình thế giới, những lò lửa chiến tranh được hình thành và tiến hành nhiều cuộc chiến tranh cục bộ trên khắp thế giới. Trước tình hình đó, Đảng Cộng sản Đông Dương nhanh chóng có những chỉ đạo các báo cách mạng nói chung lên tiếng đối với tình hình này. Tiếng nói phản đối chiến tranh, đứng về nhân dân, bảo vệ nhân dân lao động trên toàn thế giới là hành động xuyên suốt, nhất quán của Đảng Cộng sản và nhân dân Việt Nam.</w:t>
      </w:r>
    </w:p>
    <w:p w:rsidR="00AD35E8" w:rsidRPr="00116699" w:rsidRDefault="00AD35E8" w:rsidP="00AD35E8">
      <w:pPr>
        <w:jc w:val="both"/>
        <w:rPr>
          <w:b/>
        </w:rPr>
      </w:pPr>
      <w:r w:rsidRPr="00116699">
        <w:rPr>
          <w:b/>
        </w:rPr>
        <w:t>1. Những yếu tố ảnh hưởng đến phong trào phản đối chiến tranh thế giới trên báo chí cách mạng Trung Kỳ</w:t>
      </w:r>
    </w:p>
    <w:p w:rsidR="00AD35E8" w:rsidRPr="00116699" w:rsidRDefault="00AD35E8" w:rsidP="00AD35E8">
      <w:pPr>
        <w:jc w:val="both"/>
        <w:rPr>
          <w:i/>
        </w:rPr>
      </w:pPr>
      <w:r w:rsidRPr="00116699">
        <w:rPr>
          <w:i/>
        </w:rPr>
        <w:t xml:space="preserve"> Nguy cơ bùng nổ chiến tranh thế giới</w:t>
      </w:r>
    </w:p>
    <w:p w:rsidR="00AD35E8" w:rsidRDefault="00AD35E8" w:rsidP="00AD35E8">
      <w:pPr>
        <w:jc w:val="both"/>
      </w:pPr>
      <w:r>
        <w:t>Vào giữa những năm 1930, nền kinh tế thế giới tỏ dấu hiệu phục hồi nhưng chỉ ở một số nước như Mỹ, Anh (trình độ sản xuất của Anh vượt quá mức năm 1929), còn một số nước khác như Bỉ, Pháp… khủng hoảng vẫn kéo dài dai dẳng, để lại những hậu quả nặng nề về chính trị, xã hội. Mâu thuẫn giữa các nước đế quốc vì vậy ngày càng căng thẳng. Các nước đế quốc ráo riết chuẩn bị chiến tranh để giải quyết mâu thuẫn và đối phó với cuộc khủng hoảng mới đang tới gần.</w:t>
      </w:r>
    </w:p>
    <w:p w:rsidR="00AD35E8" w:rsidRDefault="00AD35E8" w:rsidP="00AD35E8">
      <w:pPr>
        <w:jc w:val="both"/>
      </w:pPr>
      <w:r>
        <w:t>Năm 1931, Hitler lên nắm quyền tuyên bố xóa bỏ chế độ đại nghị, thiết lập chế độ độc tài, quân phiệt, thủ tiêu mọi quyền tự do dân chủ và những lực lượng đối lập, tăng cường tuyên truyền cho chủ nghĩa bá quyền của dân tộc Đức cũng như tập trung cho một cuộc chiến “tổng lực” để mở rộng không gian sinh tồn. Cùng với đó Đức, Ý, Nhật và Tây Ban Nha nhanh chóng tiến hành phát xít hóa bộ máy nhà nước, tiến hành những cuộc gây hấn, chiến tranh khu vực: Ngày 25-10-1936, Đức và Nhật ký hiệp ước chống Quốc tế cộng sản, đến ngày 6-11-1937, Ý tham gia hiệp ước này; Tháng 10 năm 1935, Ý phát động chiến tranh xâm lược Ethiopie; Đức - Ý ngang nhiên can thiệp vào Tây Ban Nha vào tháng 7-1936. Ngày 30-9-1938, Hiệp ước Muy-ních chia cắt Tiệp…</w:t>
      </w:r>
    </w:p>
    <w:p w:rsidR="00AD35E8" w:rsidRDefault="00AD35E8" w:rsidP="00AD35E8">
      <w:pPr>
        <w:jc w:val="both"/>
      </w:pPr>
      <w:r>
        <w:t>Ở Trung Quốc, tháng 9 năm 1931, Nhật tấn công Mãn Châu, và mở rộng phạm vi chiếm đóng trên lãnh thổ Trung Quốc uy hiếp Đông Dương. Mặt trận Dân tộc thống nhất chống Nhật thành lập do Đảng Cộng sản đề xướng, theo sự chỉ đạo của Quốc tế Cộng sản, tiến hành cuộc chiến tranh lâu dài gian khổ và toàn diện.</w:t>
      </w:r>
    </w:p>
    <w:p w:rsidR="00AD35E8" w:rsidRPr="00116699" w:rsidRDefault="00AD35E8" w:rsidP="00AD35E8">
      <w:pPr>
        <w:jc w:val="both"/>
        <w:rPr>
          <w:i/>
        </w:rPr>
      </w:pPr>
      <w:r w:rsidRPr="00116699">
        <w:rPr>
          <w:i/>
        </w:rPr>
        <w:t>Sự phát triển của báo chí cách mạng ở Trung kỳ giai đoạn 1936-1939</w:t>
      </w:r>
    </w:p>
    <w:p w:rsidR="00AD35E8" w:rsidRDefault="00AD35E8" w:rsidP="00AD35E8">
      <w:pPr>
        <w:jc w:val="both"/>
      </w:pPr>
      <w:r>
        <w:t xml:space="preserve"> Từ năm 1936 trở đi, khi mặt trận nhân dân Pháp có ý định “nới lỏng” quyền tự do báo chí ở Đông Dương thì tự do báo chí trở thành một phong trào sôi động chưa từng có và đây là lần đầu tiên tiếng nói của những người lao động được công khai trên các diễn đàn báo chí. Kết quả của phong trào này là sự gia tăng về số lượng báo chí cả công khai và bí mật, cả hợp pháp và không hợp pháp trong thời kỳ Mặt trận Dân chủ.</w:t>
      </w:r>
    </w:p>
    <w:p w:rsidR="00116699" w:rsidRPr="00116699" w:rsidRDefault="00116699" w:rsidP="00116699">
      <w:pPr>
        <w:spacing w:line="360" w:lineRule="auto"/>
        <w:ind w:firstLine="720"/>
        <w:jc w:val="both"/>
        <w:rPr>
          <w:rFonts w:eastAsia="Times New Roman" w:cs="Times New Roman"/>
          <w:i/>
          <w:color w:val="000000" w:themeColor="text1"/>
          <w:szCs w:val="28"/>
          <w:vertAlign w:val="superscript"/>
        </w:rPr>
      </w:pPr>
      <w:r w:rsidRPr="00116699">
        <w:rPr>
          <w:rFonts w:eastAsia="Times New Roman" w:cs="Times New Roman"/>
          <w:i/>
          <w:color w:val="000000" w:themeColor="text1"/>
          <w:szCs w:val="28"/>
          <w:lang w:val="vi-VN"/>
        </w:rPr>
        <w:lastRenderedPageBreak/>
        <w:t>Bảng 1.4 : Các báo cách mạng ở Trung Kỳ giai đoạn 1936- 1939</w:t>
      </w:r>
      <w:r>
        <w:rPr>
          <w:rFonts w:eastAsia="Times New Roman" w:cs="Times New Roman"/>
          <w:i/>
          <w:color w:val="000000" w:themeColor="text1"/>
          <w:szCs w:val="28"/>
          <w:vertAlign w:val="superscript"/>
        </w:rPr>
        <w:t>(1)</w:t>
      </w:r>
    </w:p>
    <w:tbl>
      <w:tblPr>
        <w:tblStyle w:val="TableGrid"/>
        <w:tblW w:w="0" w:type="auto"/>
        <w:tblLook w:val="04A0" w:firstRow="1" w:lastRow="0" w:firstColumn="1" w:lastColumn="0" w:noHBand="0" w:noVBand="1"/>
      </w:tblPr>
      <w:tblGrid>
        <w:gridCol w:w="714"/>
        <w:gridCol w:w="1662"/>
        <w:gridCol w:w="1634"/>
        <w:gridCol w:w="1060"/>
        <w:gridCol w:w="1134"/>
        <w:gridCol w:w="1076"/>
        <w:gridCol w:w="1617"/>
      </w:tblGrid>
      <w:tr w:rsidR="00116699" w:rsidRPr="00116699" w:rsidTr="00E161A4">
        <w:tc>
          <w:tcPr>
            <w:tcW w:w="71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STT</w:t>
            </w:r>
          </w:p>
        </w:tc>
        <w:tc>
          <w:tcPr>
            <w:tcW w:w="1662"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Tên báo</w:t>
            </w:r>
          </w:p>
        </w:tc>
        <w:tc>
          <w:tcPr>
            <w:tcW w:w="163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Hình thức</w:t>
            </w:r>
          </w:p>
        </w:tc>
        <w:tc>
          <w:tcPr>
            <w:tcW w:w="1060"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Ngày ra số 1</w:t>
            </w:r>
          </w:p>
        </w:tc>
        <w:tc>
          <w:tcPr>
            <w:tcW w:w="113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Ngày ra số cuối</w:t>
            </w:r>
          </w:p>
        </w:tc>
        <w:tc>
          <w:tcPr>
            <w:tcW w:w="1076"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Tổng số báo</w:t>
            </w:r>
          </w:p>
        </w:tc>
        <w:tc>
          <w:tcPr>
            <w:tcW w:w="1617"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Chủ nhiệm</w:t>
            </w:r>
          </w:p>
        </w:tc>
      </w:tr>
      <w:tr w:rsidR="00116699" w:rsidRPr="00116699" w:rsidTr="00E161A4">
        <w:tc>
          <w:tcPr>
            <w:tcW w:w="71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1</w:t>
            </w:r>
          </w:p>
        </w:tc>
        <w:tc>
          <w:tcPr>
            <w:tcW w:w="1662"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Nhành lúa</w:t>
            </w:r>
          </w:p>
        </w:tc>
        <w:tc>
          <w:tcPr>
            <w:tcW w:w="163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In và phát hành ở một xứ khác</w:t>
            </w:r>
          </w:p>
        </w:tc>
        <w:tc>
          <w:tcPr>
            <w:tcW w:w="1060"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15-1- 1937</w:t>
            </w:r>
          </w:p>
        </w:tc>
        <w:tc>
          <w:tcPr>
            <w:tcW w:w="113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10-3-37</w:t>
            </w:r>
          </w:p>
        </w:tc>
        <w:tc>
          <w:tcPr>
            <w:tcW w:w="1076" w:type="dxa"/>
          </w:tcPr>
          <w:p w:rsidR="00116699" w:rsidRPr="00116699" w:rsidRDefault="00116699" w:rsidP="00116699">
            <w:pPr>
              <w:spacing w:line="360" w:lineRule="auto"/>
              <w:contextualSpacing/>
              <w:jc w:val="both"/>
              <w:rPr>
                <w:rFonts w:cs="Times New Roman"/>
                <w:color w:val="000000" w:themeColor="text1"/>
                <w:sz w:val="26"/>
                <w:szCs w:val="26"/>
                <w:vertAlign w:val="superscript"/>
                <w:lang w:val="vi-VN"/>
              </w:rPr>
            </w:pPr>
            <w:r w:rsidRPr="00116699">
              <w:rPr>
                <w:rFonts w:cs="Times New Roman"/>
                <w:color w:val="000000" w:themeColor="text1"/>
                <w:sz w:val="26"/>
                <w:szCs w:val="26"/>
              </w:rPr>
              <w:t>9</w:t>
            </w:r>
            <w:r>
              <w:rPr>
                <w:rFonts w:cs="Times New Roman"/>
                <w:color w:val="000000" w:themeColor="text1"/>
                <w:sz w:val="26"/>
                <w:szCs w:val="26"/>
                <w:vertAlign w:val="superscript"/>
              </w:rPr>
              <w:t>(2)</w:t>
            </w:r>
          </w:p>
        </w:tc>
        <w:tc>
          <w:tcPr>
            <w:tcW w:w="1617"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Nguyễn Xuân Lữ</w:t>
            </w:r>
          </w:p>
        </w:tc>
      </w:tr>
      <w:tr w:rsidR="00116699" w:rsidRPr="00116699" w:rsidTr="00E161A4">
        <w:tc>
          <w:tcPr>
            <w:tcW w:w="71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2</w:t>
            </w:r>
          </w:p>
        </w:tc>
        <w:tc>
          <w:tcPr>
            <w:tcW w:w="1662" w:type="dxa"/>
          </w:tcPr>
          <w:p w:rsidR="00116699" w:rsidRPr="00116699" w:rsidRDefault="00116699" w:rsidP="00116699">
            <w:pPr>
              <w:spacing w:line="360" w:lineRule="auto"/>
              <w:contextualSpacing/>
              <w:jc w:val="both"/>
              <w:rPr>
                <w:rFonts w:cs="Times New Roman"/>
                <w:color w:val="000000" w:themeColor="text1"/>
                <w:sz w:val="26"/>
                <w:szCs w:val="26"/>
                <w:vertAlign w:val="superscript"/>
              </w:rPr>
            </w:pPr>
            <w:r w:rsidRPr="00116699">
              <w:rPr>
                <w:rFonts w:cs="Times New Roman"/>
                <w:color w:val="000000" w:themeColor="text1"/>
                <w:sz w:val="26"/>
                <w:szCs w:val="26"/>
              </w:rPr>
              <w:t>Kinh tế tân văn</w:t>
            </w:r>
            <w:r w:rsidR="005418C8">
              <w:rPr>
                <w:rFonts w:cs="Times New Roman"/>
                <w:color w:val="000000" w:themeColor="text1"/>
                <w:sz w:val="26"/>
                <w:szCs w:val="26"/>
                <w:vertAlign w:val="superscript"/>
              </w:rPr>
              <w:t>(3)</w:t>
            </w:r>
          </w:p>
        </w:tc>
        <w:tc>
          <w:tcPr>
            <w:tcW w:w="163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Xin phép ra báo</w:t>
            </w:r>
          </w:p>
        </w:tc>
        <w:tc>
          <w:tcPr>
            <w:tcW w:w="1060"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9-1-37</w:t>
            </w:r>
          </w:p>
        </w:tc>
        <w:tc>
          <w:tcPr>
            <w:tcW w:w="1134"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24-4-37</w:t>
            </w:r>
          </w:p>
        </w:tc>
        <w:tc>
          <w:tcPr>
            <w:tcW w:w="1076"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4</w:t>
            </w:r>
          </w:p>
        </w:tc>
        <w:tc>
          <w:tcPr>
            <w:tcW w:w="1617" w:type="dxa"/>
          </w:tcPr>
          <w:p w:rsidR="00116699" w:rsidRPr="00116699" w:rsidRDefault="00116699" w:rsidP="00116699">
            <w:pPr>
              <w:spacing w:line="360" w:lineRule="auto"/>
              <w:contextualSpacing/>
              <w:jc w:val="both"/>
              <w:rPr>
                <w:rFonts w:cs="Times New Roman"/>
                <w:color w:val="000000" w:themeColor="text1"/>
                <w:sz w:val="26"/>
                <w:szCs w:val="26"/>
              </w:rPr>
            </w:pPr>
            <w:r w:rsidRPr="00116699">
              <w:rPr>
                <w:rFonts w:cs="Times New Roman"/>
                <w:color w:val="000000" w:themeColor="text1"/>
                <w:sz w:val="26"/>
                <w:szCs w:val="26"/>
              </w:rPr>
              <w:t>Hồ Cát</w:t>
            </w:r>
          </w:p>
        </w:tc>
      </w:tr>
    </w:tbl>
    <w:p w:rsidR="00116699" w:rsidRDefault="00116699" w:rsidP="00AD35E8">
      <w:pPr>
        <w:jc w:val="both"/>
      </w:pPr>
    </w:p>
    <w:tbl>
      <w:tblPr>
        <w:tblStyle w:val="TableGrid"/>
        <w:tblW w:w="0" w:type="auto"/>
        <w:tblLook w:val="04A0" w:firstRow="1" w:lastRow="0" w:firstColumn="1" w:lastColumn="0" w:noHBand="0" w:noVBand="1"/>
      </w:tblPr>
      <w:tblGrid>
        <w:gridCol w:w="714"/>
        <w:gridCol w:w="1662"/>
        <w:gridCol w:w="1634"/>
        <w:gridCol w:w="1060"/>
        <w:gridCol w:w="1134"/>
        <w:gridCol w:w="1076"/>
        <w:gridCol w:w="1617"/>
      </w:tblGrid>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3</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Sông Hương, tục bản</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Mua lại</w:t>
            </w:r>
          </w:p>
        </w:tc>
        <w:tc>
          <w:tcPr>
            <w:tcW w:w="1060"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19-6- 37</w:t>
            </w:r>
          </w:p>
        </w:tc>
        <w:tc>
          <w:tcPr>
            <w:tcW w:w="11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14-10-37</w:t>
            </w:r>
          </w:p>
        </w:tc>
        <w:tc>
          <w:tcPr>
            <w:tcW w:w="1076"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14</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Nguyễn Cửu Thạnh</w:t>
            </w: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4</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Dân</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Xin phép ra báo</w:t>
            </w:r>
          </w:p>
        </w:tc>
        <w:tc>
          <w:tcPr>
            <w:tcW w:w="1060"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6-7-38</w:t>
            </w:r>
          </w:p>
        </w:tc>
        <w:tc>
          <w:tcPr>
            <w:tcW w:w="11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7-10-38</w:t>
            </w:r>
          </w:p>
        </w:tc>
        <w:tc>
          <w:tcPr>
            <w:tcW w:w="1076"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17</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Nguyễn Đan Quế</w:t>
            </w: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5</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Dân tiến</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Báo in và phát hành ở xứ khác</w:t>
            </w:r>
          </w:p>
        </w:tc>
        <w:tc>
          <w:tcPr>
            <w:tcW w:w="1060"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27-10-38</w:t>
            </w:r>
          </w:p>
        </w:tc>
        <w:tc>
          <w:tcPr>
            <w:tcW w:w="11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22-12-38</w:t>
            </w:r>
          </w:p>
        </w:tc>
        <w:tc>
          <w:tcPr>
            <w:tcW w:w="1076"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5</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Huỳnh Văn Thanh</w:t>
            </w: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6</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Dân muốn</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Báo in và phát hành ở xứ khác</w:t>
            </w:r>
          </w:p>
        </w:tc>
        <w:tc>
          <w:tcPr>
            <w:tcW w:w="1060"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20-12-38</w:t>
            </w:r>
          </w:p>
        </w:tc>
        <w:tc>
          <w:tcPr>
            <w:tcW w:w="11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6-1-39</w:t>
            </w:r>
          </w:p>
        </w:tc>
        <w:tc>
          <w:tcPr>
            <w:tcW w:w="1076"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2</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Phan Văn Tạo</w:t>
            </w: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7</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Lân</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1060"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11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1076"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8</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Tiến tới</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1060"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6/2/39</w:t>
            </w:r>
          </w:p>
        </w:tc>
        <w:tc>
          <w:tcPr>
            <w:tcW w:w="11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1076"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r>
      <w:tr w:rsidR="00116699" w:rsidRPr="00116699" w:rsidTr="00E161A4">
        <w:tc>
          <w:tcPr>
            <w:tcW w:w="8897" w:type="dxa"/>
            <w:gridSpan w:val="7"/>
          </w:tcPr>
          <w:p w:rsidR="00116699" w:rsidRPr="00116699" w:rsidRDefault="00116699" w:rsidP="00116699">
            <w:pPr>
              <w:spacing w:line="360" w:lineRule="auto"/>
              <w:contextualSpacing/>
              <w:jc w:val="center"/>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BÁO CHÍ CỦA CÁC ĐẢNG BỘ ĐỊA PHƯƠNG</w:t>
            </w: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10</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vertAlign w:val="superscript"/>
              </w:rPr>
            </w:pPr>
            <w:r w:rsidRPr="00116699">
              <w:rPr>
                <w:rFonts w:ascii="Times New Roman" w:hAnsi="Times New Roman" w:cs="Times New Roman"/>
                <w:color w:val="000000" w:themeColor="text1"/>
                <w:sz w:val="26"/>
                <w:szCs w:val="26"/>
              </w:rPr>
              <w:t>Tia sáng</w:t>
            </w:r>
            <w:r w:rsidR="005418C8">
              <w:rPr>
                <w:rFonts w:ascii="Times New Roman" w:hAnsi="Times New Roman" w:cs="Times New Roman"/>
                <w:color w:val="000000" w:themeColor="text1"/>
                <w:sz w:val="26"/>
                <w:szCs w:val="26"/>
                <w:vertAlign w:val="superscript"/>
              </w:rPr>
              <w:t>(4)</w:t>
            </w:r>
            <w:bookmarkStart w:id="0" w:name="_GoBack"/>
            <w:bookmarkEnd w:id="0"/>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In thạch</w:t>
            </w:r>
          </w:p>
        </w:tc>
        <w:tc>
          <w:tcPr>
            <w:tcW w:w="1060"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Tháng 3/1936</w:t>
            </w:r>
          </w:p>
        </w:tc>
        <w:tc>
          <w:tcPr>
            <w:tcW w:w="11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1076"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2</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Trịnh Huy Quang (Đảng bộ tỉnh Thanh Hóa)</w:t>
            </w: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11</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Dân nghèo</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Báo viết tay</w:t>
            </w:r>
          </w:p>
        </w:tc>
        <w:tc>
          <w:tcPr>
            <w:tcW w:w="3270" w:type="dxa"/>
            <w:gridSpan w:val="3"/>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Xuất bản năm 1936</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Đảng bộ tỉnh Nghệ An</w:t>
            </w: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lastRenderedPageBreak/>
              <w:t>12</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Chỉ đạo</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3270" w:type="dxa"/>
            <w:gridSpan w:val="3"/>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Xuất bản năm 1938</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Đảng bộ tỉnh Nghệ An</w:t>
            </w:r>
          </w:p>
        </w:tc>
      </w:tr>
      <w:tr w:rsidR="00116699" w:rsidRPr="00116699" w:rsidTr="00E161A4">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13</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Tranh đấu</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3270" w:type="dxa"/>
            <w:gridSpan w:val="3"/>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Mỗi tháng 2 kỳ</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Đảng bộ tỉnh Quảng Trị</w:t>
            </w:r>
          </w:p>
        </w:tc>
      </w:tr>
      <w:tr w:rsidR="00116699" w:rsidRPr="00116699" w:rsidTr="00E161A4">
        <w:trPr>
          <w:trHeight w:val="368"/>
        </w:trPr>
        <w:tc>
          <w:tcPr>
            <w:tcW w:w="71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 xml:space="preserve"> 14</w:t>
            </w:r>
          </w:p>
        </w:tc>
        <w:tc>
          <w:tcPr>
            <w:tcW w:w="1662"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Tạp chí Đỏ</w:t>
            </w:r>
          </w:p>
        </w:tc>
        <w:tc>
          <w:tcPr>
            <w:tcW w:w="1634"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p>
        </w:tc>
        <w:tc>
          <w:tcPr>
            <w:tcW w:w="3270" w:type="dxa"/>
            <w:gridSpan w:val="3"/>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Số 1 vào tháng 9- 1936</w:t>
            </w:r>
          </w:p>
        </w:tc>
        <w:tc>
          <w:tcPr>
            <w:tcW w:w="1617" w:type="dxa"/>
          </w:tcPr>
          <w:p w:rsidR="00116699" w:rsidRPr="00116699" w:rsidRDefault="00116699" w:rsidP="00116699">
            <w:pPr>
              <w:spacing w:line="360" w:lineRule="auto"/>
              <w:contextualSpacing/>
              <w:jc w:val="both"/>
              <w:rPr>
                <w:rFonts w:ascii="Times New Roman" w:hAnsi="Times New Roman" w:cs="Times New Roman"/>
                <w:color w:val="000000" w:themeColor="text1"/>
                <w:sz w:val="26"/>
                <w:szCs w:val="26"/>
              </w:rPr>
            </w:pPr>
            <w:r w:rsidRPr="00116699">
              <w:rPr>
                <w:rFonts w:ascii="Times New Roman" w:hAnsi="Times New Roman" w:cs="Times New Roman"/>
                <w:color w:val="000000" w:themeColor="text1"/>
                <w:sz w:val="26"/>
                <w:szCs w:val="26"/>
              </w:rPr>
              <w:t>Quảng Ngãi</w:t>
            </w:r>
          </w:p>
        </w:tc>
      </w:tr>
    </w:tbl>
    <w:p w:rsidR="00116699" w:rsidRDefault="00116699" w:rsidP="00AD35E8">
      <w:pPr>
        <w:jc w:val="both"/>
      </w:pPr>
    </w:p>
    <w:p w:rsidR="00AD35E8" w:rsidRDefault="00AD35E8" w:rsidP="00AD35E8">
      <w:pPr>
        <w:jc w:val="both"/>
      </w:pPr>
    </w:p>
    <w:p w:rsidR="00AD35E8" w:rsidRDefault="00AD35E8" w:rsidP="00AD35E8">
      <w:pPr>
        <w:jc w:val="both"/>
      </w:pPr>
      <w:r>
        <w:t>Như vậy báo chí cách mạng ở Trung kỳ có điểm khác so với báo chí ở Bắc kỳ và Nam kỳ là sự xuất hiện của nhiều báo địa phương. Điều này xuất phát từ việc xứ ủy Trung kỳ bị phá vỡ và chưa thống nhất trong những năm 1936, 1937 cho nên chưa có sự chỉ đạo thống nhất như ở Bắc kỳ và Nam kỳ.</w:t>
      </w:r>
    </w:p>
    <w:p w:rsidR="00AD35E8" w:rsidRPr="00116699" w:rsidRDefault="00AD35E8" w:rsidP="00AD35E8">
      <w:pPr>
        <w:jc w:val="both"/>
        <w:rPr>
          <w:i/>
        </w:rPr>
      </w:pPr>
      <w:r w:rsidRPr="00116699">
        <w:rPr>
          <w:i/>
        </w:rPr>
        <w:t xml:space="preserve">Chủ trương của Đảng Cộng sản Đông Dương trong việc chống phát xít và chiến tranh thế giới </w:t>
      </w:r>
    </w:p>
    <w:p w:rsidR="00AD35E8" w:rsidRDefault="00AD35E8" w:rsidP="00AD35E8">
      <w:pPr>
        <w:jc w:val="both"/>
      </w:pPr>
      <w:r>
        <w:t xml:space="preserve">Ngay từ khi ra đời, Đảng Cộng sản Đông Dương đã đặt phong trào cách mạng Việt Nam là một bộ phận của cách mạng thế giới. Trong thời kì 1936- 1939, đứng trước nạn phát xít và chiến tranh thế giới, Đảng Cộng sản Đông Dương đã nhanh chóng ra chủ trương vận động nhân dân đấu tranh chống phát xít, chống sự xâm lược của phát xít. </w:t>
      </w:r>
    </w:p>
    <w:p w:rsidR="00AD35E8" w:rsidRDefault="00AD35E8" w:rsidP="00AD35E8">
      <w:pPr>
        <w:jc w:val="both"/>
      </w:pPr>
      <w:r>
        <w:t xml:space="preserve">Đến năm 1938, khi nguy cơ chiến tranh đang đến dần, Đảng Cộng sản Đông Dương đã phát hành: “Tuyên ngôn của Đảng Cộng sản Đông Dương đối với thời cuộc” vào tháng 10 - 1938. Trong đó, Đảng nêu rõ: “Đứng trước tình thế viễn Đông ngày nay, Đảng chúng tôi tán thành phòng thủ Đông Dương, chống xâm lược phát xít. Chúng tôi cho rằng những phương pháp chính phủ đã thi hành hoàn toàn chưa đủ, còn cần phải có lực lượng của quần chúng giúp đỡ về tinh thần và vật chất. Muốn thế chính phủ phải có trách nhiệm ban bố các quyền tự do dân chủ và cải thiện sinh hoạt cho dân chúng để tăng thêm lực lượng phòng thủ… Phòng thủ mà không đề phòng bọn thân Nhật, bọn thân Xiêm hay bọn phá hoại, bọn khiêu khích Tờrốtkít, thì cuộc phòng thủ rất nguy hiểm…(5)”. </w:t>
      </w:r>
    </w:p>
    <w:p w:rsidR="00AD35E8" w:rsidRDefault="00AD35E8" w:rsidP="00AD35E8">
      <w:pPr>
        <w:jc w:val="both"/>
      </w:pPr>
      <w:r>
        <w:t>Như vậy, thái độ của Đảng Cộng sản Đông Dương rất rõ ràng: tán thành phòng thủ Đông Dương nhưng có những điều kiện và đề nghị cụ thể về sự phòng thủ ấy đó là yêu cầu nhà cầm quyền ban hành tự do dân chủ, đòi cải thiện đời sống nhân dân.</w:t>
      </w:r>
    </w:p>
    <w:p w:rsidR="00AD35E8" w:rsidRPr="00116699" w:rsidRDefault="00AD35E8" w:rsidP="00AD35E8">
      <w:pPr>
        <w:jc w:val="both"/>
        <w:rPr>
          <w:b/>
        </w:rPr>
      </w:pPr>
      <w:r w:rsidRPr="00116699">
        <w:rPr>
          <w:b/>
        </w:rPr>
        <w:t>2. Nội dung phong trào phản đối chiến tranh thế giới trên báo chí cách mạng Trung kỳ giai đoạn 1936-1939</w:t>
      </w:r>
    </w:p>
    <w:p w:rsidR="00AD35E8" w:rsidRDefault="00AD35E8" w:rsidP="00AD35E8">
      <w:pPr>
        <w:jc w:val="both"/>
      </w:pPr>
      <w:r>
        <w:t>Quán triệt những chỉ đạo của Đảng Cộng sản Đông Dương, báo chí cách mạng Trung kỳ giai đoạn 1936-1939 thường xuyên đưa tin, bài để ủng hộ hòa bình, phản đối chiến tranh thế giới.</w:t>
      </w:r>
    </w:p>
    <w:p w:rsidR="00AD35E8" w:rsidRDefault="00AD35E8" w:rsidP="00AD35E8">
      <w:pPr>
        <w:jc w:val="both"/>
      </w:pPr>
      <w:r>
        <w:t xml:space="preserve">Ngay từ khi các lò lửa chiến tranh được hình thành, báo chí cách mạng nói chung và báo chí cách mạng Trung kỳ nói riêng đã liên tục cập nhật những động thái mới nhất </w:t>
      </w:r>
      <w:r>
        <w:lastRenderedPageBreak/>
        <w:t>của các nước phát xít cũng như giải thích cho quần chúng nhân dân hiểu rõ bản chất của những sự kiện đang diễn ra trên thế giới lúc bấy giờ. Trước hết, các báo cách mạng ở Trung kỳ luôn theo sát những diễn biến của tình hình chiến tranh trên các khu vực trên thế giới. Ở hầu hết các số báo đều đăng những hoạt động gây chiến của các nước Đức, Ý, Nhật. Báo Nhành lúa số 6 ngày 19 tháng 2 năm 1937 (số đặc biệt) đăng bài “Thế giới trong năm 1936” tổng kết những sự kiện quan trọng diễn ra trên thế giới trong năm 1936 như: Mâu thuẫn của xã hội tư bản, hòa ước Versailles bị xé, hiệp ước Pháp - Nga, Đức kéo quân vào Rhenanie; chiến tuyến bình dân Tây Ban Nha thắng lợi; thời cuộc nước Tàu. Với bài viết này, những diễn biến quan trọng của thế giới trong năm 1936, đặc biệt những hành động của những nước đế quốc được phân tích rất kĩ. Trên báo Dân luôn có phần nói về tin tức thế giới, trong đó, những tin tức từ châu Âu đến châu Á được trình bày một cách tỉ mỉ theo từng tuần. Ví dụ, diễn biến chiến tranh Trung Nhật được trình bày rất cụ thể qua từng số báo: Số 3 (22-7-1938) đăng tin: Nhật ném bom ở Quảng Châu và Võ Xương; Cửu Giang sắp thất thủ nhưng quân Tàu quyết kháng chiến, Quân Tàu thắng ở Sơn Đông và Sơn Tây; Không quân Tàu lập được nhiều chiến công rực rỡ; Nhật hăm dọa; Số 4 (29-7-1938) tiếp tục đưa tin: Lại những trận mưa tạc đạn ở Quảng Châu và Vũ Hán;  Số 5 (5-8-1938) có bài: Quân Nhật do 3 đường đánh vào Hán Khẩu, Quảng Đông có 2 triệu dân quân… Trên báo Sông Hương, tục bản cũng đưa tin về những hành động gây chiến của Đức, Ý, Nhật, cuộc chiến tranh Trung-Nhật, cuộc chiến tranh ở Tây Ban Nha trong mục Thế giới hoạt động, Tin tức trong ngoài. Qua việc cập nhật những tin tức đó, quần chúng hiểu hơn về thời sự thế giới liên quan trực tiếp đến mình.</w:t>
      </w:r>
    </w:p>
    <w:p w:rsidR="00AD35E8" w:rsidRDefault="00AD35E8" w:rsidP="00AD35E8">
      <w:pPr>
        <w:jc w:val="both"/>
      </w:pPr>
      <w:r>
        <w:t>Cùng với tin tức về sự bành trướng của các nước phát xít, thái độ của các nước lớn, cuộc đấu tranh của các nước nhỏ cũng thường xuyên được các báo cách mạng đăng tải.</w:t>
      </w:r>
    </w:p>
    <w:p w:rsidR="00AD35E8" w:rsidRDefault="00AD35E8" w:rsidP="00AD35E8">
      <w:pPr>
        <w:jc w:val="both"/>
      </w:pPr>
      <w:r>
        <w:t>Báo Sông Hương, tục bản có những bài phân tích thái độ của các cường quốc như Anh, Pháp, Mỹ đối với những hành động bành trướng, xâm lược của phát xít. Trên số 7 (ngày 19-8-1937) Phan Đăng Lưu phân tích: “Từ tháng 8 - 1936, sau khi được tin Đức và Ý đem binh lính và khí giới, tàu bè qua giúp bọn phát xít Phrăngcô đánh đổ chánh phủ bình dân Tây Ban Nha, ai cũng đoán rằng Pháp và Anh sẽ không cho Hítle và Mútxôlini giữ lấy chìa khóa Địa Trung Hải. Nhưng chúng ta thấy những gì? Sau khi phong tỏa một cách phi pháp Chánh phủ bình dân Tây Ban Nha, Anh Pháp đã để cho tàu bay và tàu chiến Đức và Ý tàn sát những thành phố Malaca, Gluenica, Anmêria, Binbao,... Ngày nay thấy khói lửa đương nhóm ở viễn Đông, Anh lại thừa nhận luôn rằng bọn Phrăngcô là một đối thủ ngang hàng với chánh phủ Tây Ban Nha. Thật là một sự nhượng bộ nho nhã”.</w:t>
      </w:r>
    </w:p>
    <w:p w:rsidR="00AD35E8" w:rsidRDefault="00AD35E8" w:rsidP="00AD35E8">
      <w:pPr>
        <w:jc w:val="both"/>
      </w:pPr>
      <w:r>
        <w:t xml:space="preserve">Báo Dân muốn cũng đưa ra những bình luận đối với thái độ của các nước lớn như: “Thái độ rụt rè của Anh và Pháp đã khuyến khích quân phát xít Đức bắn phá Anmêria, giết hại vô số đàn bà và trẻ em vô tội”(6). </w:t>
      </w:r>
    </w:p>
    <w:p w:rsidR="00AD35E8" w:rsidRDefault="00AD35E8" w:rsidP="00AD35E8">
      <w:pPr>
        <w:jc w:val="both"/>
      </w:pPr>
      <w:r>
        <w:lastRenderedPageBreak/>
        <w:t>Thái độ của Nga đối với cuộc chiến tranh đế quốc cũng thường được các báo quan tâm, báo Dân đã phân tích thái độ của Nga đối với cuộc chiến tranh chống Nhật của Tàu: “Thái độ của Nga đối với Tàu trong sự giúp cho Tàu kháng Nhật thiệt là minh bạch; và trước sự khiêu khích của Nhật, Nga cương quyết đối phó chớ không nhượng bộ một tí nào”(7).</w:t>
      </w:r>
    </w:p>
    <w:p w:rsidR="00AD35E8" w:rsidRDefault="00AD35E8" w:rsidP="00AD35E8">
      <w:pPr>
        <w:jc w:val="both"/>
      </w:pPr>
      <w:r>
        <w:t>Tinh thần phản đối chiến tranh của nhân dân tiến bộ trên thế giới cũng được các báo thường xuyên quan tâm, báo Dân đưa tin về những hội nghị phản đối chiến tranh như: cuộc Hội nghị Phụ nữ chống chiến tranh họp tại Marseile vào ngày 13, 14, 15 tháng 5 năm 1938(8) hay cuộc đại Hội nghị phản đối chiến tranh ở Pari. Không chỉ đề cập đến tinh thần phản đối chiến tranh của nhân dân tiến bộ các nước, báo chí cách mạng Trung kỳ còn đăng tin về sự phản đối chiến tranh ngay trong chính nước Nhật: “Phong trào chống chiến tranh ở trong nước Nhật ngày càng lan rộng. Nhiều nơi thợ thuyền và dân cày không chịu đi lính. Hôm qua có tin tám triệu học sinh cao đẳng và trung đẳng Nhật phái đại biểu lên chất vấn chánh phủ vì sao mà đánh Tàu? Ở Thượng Hải, hàng ngày nhiều lính và kiều dân Nhật bị quan binh Nhật bắt bỏ tù vì tội chống chiến tranh”(9).</w:t>
      </w:r>
    </w:p>
    <w:p w:rsidR="00AD35E8" w:rsidRDefault="00AD35E8" w:rsidP="00AD35E8">
      <w:pPr>
        <w:jc w:val="both"/>
      </w:pPr>
      <w:r>
        <w:t>Những thông tin này giúp cho quần chúng nhân dân đặc biệt là công nhân hiểu, phân biệt rõ lực lượng phát xít hiếu chiến với nhân dân yêu chuộng hòa bình ở Nhật.</w:t>
      </w:r>
    </w:p>
    <w:p w:rsidR="00AD35E8" w:rsidRDefault="00AD35E8" w:rsidP="00AD35E8">
      <w:pPr>
        <w:jc w:val="both"/>
      </w:pPr>
      <w:r>
        <w:t xml:space="preserve">Cuộc đấu tranh bảo vệ tổ quốc của các nước chống chiến tranh phát xít là chủ đề quen thuộc của báo chí cách mạng Trung kỳ. Trong cuộc đấu chống Nhật xâm lược, tinh thần chiến đấu của nhân dân Trung Quốc luôn được các báo quan tâm. Trong bài viết về: Người lính Tàu và người lính Nhật, báo Dân viết: “Tuy lính Tàu quân khí thua sút nhưng lại dồi dào sáng kiến, hăng hái. Trái lại, lính Nhật chỉ là món khí cụ trong tay bọn tướng lĩnh Phù Tang”. </w:t>
      </w:r>
    </w:p>
    <w:p w:rsidR="00AD35E8" w:rsidRDefault="00AD35E8" w:rsidP="00AD35E8">
      <w:pPr>
        <w:jc w:val="both"/>
      </w:pPr>
      <w:r>
        <w:t>Không chỉ quan tâm đến những người Trung Quốc đang hằng ngày chống trả quân Nhật, thái độ của những người Trung Quốc ở nước ngoài phản đối cuộc chiến tranh phi nghĩa do Nhật gây ra cũng được các báo cách mạng Trung kỳ quan tâm. Báo Dân số 4 ngày 29 tháng 7 năm 1938 đăng tin: “Không chịu chở hàng cho người Nhật Bản, một số phu thuyền Trung Hoa bỏ việc” đề cập đến những người phu thuyền Trung Hoa làm việc cho ông G - một nhà khai mỏ ở Hải Phòng nghỉ việc để phản đối làm việc ông G cung cấp kim khí cho người Nhật. Những bài viết này giúp công nhân hiểu hơn về thái độ của nhân dân tiến bộ đối với cuộc chiến tranh phi nghĩa, từ đó hình thành mối liên kết giữa phong trào cách mạng Việt Nam với phong trào cách mạng của các nước trên thế giới.</w:t>
      </w:r>
    </w:p>
    <w:p w:rsidR="00AD35E8" w:rsidRDefault="00AD35E8" w:rsidP="00AD35E8">
      <w:pPr>
        <w:jc w:val="both"/>
      </w:pPr>
      <w:r>
        <w:t xml:space="preserve"> Báo chí cách mạng Trung kỳ còn bày tỏ thái độ của Việt Nam trước cuộc chiến tranh đế quốc: Báo Dân số 4 ngày 29 tháng 7 năm 1938 có bài: “Phản đối chiến tranh, ủng hộ hòa bình”.</w:t>
      </w:r>
    </w:p>
    <w:p w:rsidR="00AD35E8" w:rsidRDefault="00AD35E8" w:rsidP="00AD35E8">
      <w:pPr>
        <w:jc w:val="both"/>
      </w:pPr>
      <w:r>
        <w:t xml:space="preserve">Bên cạnh việc quan tâm đến tình hình chiến sự trên thế giới, báo chí cách mạng Trung kỳ luôn dành nhiều bài viết để nói về việc phòng thủ Đông Dương. Trên báo Dân có bài: “Dân cười Chương trình phòng thủ Huế khi có loạn”(10) đưa ra những </w:t>
      </w:r>
      <w:r>
        <w:lastRenderedPageBreak/>
        <w:t>bước tiến hành phòng thủ tại Huế: “đất thần kinh, là mệnh mạch của đất nước” và “Chúng tôi với vấn đề phòng thủ Đông Dương và công cuộc thải (công trái) hiện thời”(11).</w:t>
      </w:r>
    </w:p>
    <w:p w:rsidR="00AD35E8" w:rsidRDefault="00AD35E8" w:rsidP="00AD35E8">
      <w:pPr>
        <w:jc w:val="both"/>
      </w:pPr>
      <w:r>
        <w:t xml:space="preserve">Như vậy tinh thần của báo chí cách mạng Trung kỳ rất rõ ràng đó là ủng hộ chương trình phòng thủ Huế nhưng phải mở rộng quyền tự do dân chủ cho dân. </w:t>
      </w:r>
    </w:p>
    <w:p w:rsidR="00AD35E8" w:rsidRPr="00116699" w:rsidRDefault="00AD35E8" w:rsidP="00AD35E8">
      <w:pPr>
        <w:jc w:val="both"/>
        <w:rPr>
          <w:b/>
        </w:rPr>
      </w:pPr>
      <w:r w:rsidRPr="00116699">
        <w:rPr>
          <w:b/>
        </w:rPr>
        <w:t>3. Vài nhận xét</w:t>
      </w:r>
    </w:p>
    <w:p w:rsidR="00AD35E8" w:rsidRDefault="00AD35E8" w:rsidP="00AD35E8">
      <w:pPr>
        <w:jc w:val="both"/>
      </w:pPr>
      <w:r>
        <w:t>Báo chí cách mạng Trung kỳ giai đoạn 1936-1939 đã tích cực tuyên truyền để nhân dân hiểu về cuộc chiến tranh đang đến gần bằng việc cập nhật liên tục quá trình phát xít hóa bộ máy nhà nước và gây chiến tranh cục bộ của các nước Đức, Ý, Nhật…, thái độ của những nước lớn, nhân dân tiến bộ đối với cuộc chiến tranh, đời sống của nhân dân các nước thuộc địa dưới áp bức của phát xít. Từ đó các báo lên án chiến tranh phát xít phi nghĩa và kêu gọi nhân dân đoàn kết chống lại chiến tranh, bảo vệ hòa bình.</w:t>
      </w:r>
    </w:p>
    <w:p w:rsidR="00AD35E8" w:rsidRDefault="00AD35E8" w:rsidP="00AD35E8">
      <w:pPr>
        <w:jc w:val="both"/>
      </w:pPr>
      <w:r>
        <w:t>Những hành động đó đã thể hiện ý thức đoàn kết quốc tế sâu sắc, tạo được niềm tin của nhân dân các nước tiến bộ đối với cách mạng Việt Nam, khẳng định cách mạng Việt Nam là một bộ phận của cách mạng thế giới. Do hoàn cảnh đặc biệt, Trung kỳ chịu sự quản lý chặt chẽ của triều đình Huế nên trong giai đoạn này Xứ ủy Trung kỳ không phát động những hoạt động phản đối chiến tranh trên thực tế, nhưng việc công khai lên tiếng phản đối chiến tranh của các báo cách mạng ở Trung kỳ trong giai đoạn này cũng thể hiện sự dũng cảm của những nhà báo cách mạng ở nơi đây.</w:t>
      </w:r>
    </w:p>
    <w:p w:rsidR="00950DBD" w:rsidRDefault="00AD35E8" w:rsidP="00AD35E8">
      <w:pPr>
        <w:jc w:val="both"/>
      </w:pPr>
      <w:r>
        <w:t>Qua việc cập nhật, lên án, và vận động nhân dân ủng hộ phong trào hòa bình thế giới, báo cách mạng ở Trung kỳ nói riêng và Đảng Cộng sản Đông Dương nói chung đã thể hiện quan điểm nhất quán của người Việt Nam là luôn mong muốn hòa bình, phản đối chiến tranh đế quốc phi nghĩa. Đây là quan điểm xuyên suốt trong cả tiến trình lịch sử dân tộc cũng như hiện nay.</w:t>
      </w:r>
    </w:p>
    <w:p w:rsidR="00116699" w:rsidRDefault="00116699" w:rsidP="00116699">
      <w:pPr>
        <w:jc w:val="both"/>
      </w:pPr>
    </w:p>
    <w:p w:rsidR="00116699" w:rsidRPr="00116699" w:rsidRDefault="00116699" w:rsidP="00116699">
      <w:pPr>
        <w:jc w:val="both"/>
        <w:rPr>
          <w:b/>
        </w:rPr>
      </w:pPr>
      <w:r w:rsidRPr="00116699">
        <w:rPr>
          <w:b/>
        </w:rPr>
        <w:t>Chú thích</w:t>
      </w:r>
    </w:p>
    <w:p w:rsidR="00116699" w:rsidRDefault="00116699" w:rsidP="00116699">
      <w:pPr>
        <w:jc w:val="both"/>
      </w:pPr>
      <w:r>
        <w:t>1. Bảng do Trần Thị Thanh Huyền tự tổng hợp.</w:t>
      </w:r>
    </w:p>
    <w:p w:rsidR="00116699" w:rsidRDefault="00116699" w:rsidP="00116699">
      <w:pPr>
        <w:jc w:val="both"/>
      </w:pPr>
      <w:r>
        <w:t>2. Theo Nguyễn Thái Sơn: Báo Dân trong dòng chảy báo chí cách mạng Thừa Thiên Huế và miền Trung, Tạp chí Sông Hương số 354 (T8- 1938) thì Báo Nhành lúa được 13 số (tuy nhiên theo ý kiến chủ quan của tôi thì thông tin này chưa chính xác vì sách lệnh thu hồi kí vào ngày 10-3- 1937, đến ngày 19-3 báo ra số 9).</w:t>
      </w:r>
    </w:p>
    <w:p w:rsidR="00116699" w:rsidRDefault="00116699" w:rsidP="00116699">
      <w:pPr>
        <w:jc w:val="both"/>
      </w:pPr>
      <w:r>
        <w:t>3. Theo Huỳnh Văn Tòng trong: “Báo chí Việt Nam từ khởi thủy đến năm 1945” trang 418 thì: Kinh tế tân văn số 1 ra ngày 8-4- 1937 đình bản số 3, ngày 24-4- 1937 và chủ nhiệm là Phạm Bá Nguyên.</w:t>
      </w:r>
    </w:p>
    <w:p w:rsidR="00116699" w:rsidRDefault="00116699" w:rsidP="00116699">
      <w:pPr>
        <w:jc w:val="both"/>
      </w:pPr>
      <w:r>
        <w:t>4. Theo Nguyễn Văn Trung: “Báo chí các cấp của đảng bộ Trung kỳ trong những năm 1930- 1945” trang 75, Báo Tia sáng là cơ quan của Tỉnh ủy ĐCS ĐD tại Thanh Hóa.</w:t>
      </w:r>
    </w:p>
    <w:p w:rsidR="00116699" w:rsidRDefault="00116699" w:rsidP="00116699">
      <w:pPr>
        <w:jc w:val="both"/>
      </w:pPr>
      <w:r>
        <w:t>5. Đảng Cộng sản Việt Nam: Văn Kiện Đảng toàn tập 6 ( 1936-1939), Nxb Chính trị Quốc gia, 2000, tr433.</w:t>
      </w:r>
    </w:p>
    <w:p w:rsidR="00116699" w:rsidRDefault="00116699" w:rsidP="00116699">
      <w:pPr>
        <w:jc w:val="both"/>
      </w:pPr>
      <w:r>
        <w:lastRenderedPageBreak/>
        <w:t>6. Báo Dân muốn số 1 ( ngày 5-1-1939).</w:t>
      </w:r>
    </w:p>
    <w:p w:rsidR="00116699" w:rsidRDefault="00116699" w:rsidP="00116699">
      <w:pPr>
        <w:jc w:val="both"/>
      </w:pPr>
      <w:r>
        <w:t>7. Báo Dân số 6 (ngày 12-8- 1938).</w:t>
      </w:r>
    </w:p>
    <w:p w:rsidR="00116699" w:rsidRDefault="00116699" w:rsidP="00116699">
      <w:pPr>
        <w:jc w:val="both"/>
      </w:pPr>
      <w:r>
        <w:t>8. Báo Dân số 3 (ngày 22 -7- 1938).</w:t>
      </w:r>
    </w:p>
    <w:p w:rsidR="00116699" w:rsidRDefault="00116699" w:rsidP="00116699">
      <w:pPr>
        <w:jc w:val="both"/>
      </w:pPr>
      <w:r>
        <w:t xml:space="preserve">9. Phan Thị Hồng Anh: “Một nắm tay” (Đăng trên Sông Hương tục bản số 13 ngày 7-10- 19370. </w:t>
      </w:r>
    </w:p>
    <w:p w:rsidR="00116699" w:rsidRDefault="00116699" w:rsidP="00116699">
      <w:pPr>
        <w:jc w:val="both"/>
      </w:pPr>
      <w:r>
        <w:t>10. Báo Dân số 7 (Ngày 19-8- 1938).</w:t>
      </w:r>
    </w:p>
    <w:p w:rsidR="00116699" w:rsidRDefault="00116699" w:rsidP="00116699">
      <w:pPr>
        <w:jc w:val="both"/>
      </w:pPr>
      <w:r>
        <w:t>11. Báo Dân số 1 ( ngày 6-7- 1938).</w:t>
      </w:r>
    </w:p>
    <w:sectPr w:rsidR="00116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A92" w:rsidRDefault="00863A92" w:rsidP="00116699">
      <w:r>
        <w:separator/>
      </w:r>
    </w:p>
  </w:endnote>
  <w:endnote w:type="continuationSeparator" w:id="0">
    <w:p w:rsidR="00863A92" w:rsidRDefault="00863A92" w:rsidP="0011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A92" w:rsidRDefault="00863A92" w:rsidP="00116699">
      <w:r>
        <w:separator/>
      </w:r>
    </w:p>
  </w:footnote>
  <w:footnote w:type="continuationSeparator" w:id="0">
    <w:p w:rsidR="00863A92" w:rsidRDefault="00863A92" w:rsidP="00116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E8"/>
    <w:rsid w:val="00116699"/>
    <w:rsid w:val="005418C8"/>
    <w:rsid w:val="00863A92"/>
    <w:rsid w:val="00950DBD"/>
    <w:rsid w:val="00AD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283F"/>
  <w15:chartTrackingRefBased/>
  <w15:docId w15:val="{935FFFEB-0D47-41A1-8550-B8A5F77A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16699"/>
    <w:rPr>
      <w:rFonts w:ascii="Calibri" w:hAnsi="Calibri"/>
      <w:sz w:val="20"/>
      <w:szCs w:val="20"/>
    </w:rPr>
  </w:style>
  <w:style w:type="character" w:customStyle="1" w:styleId="FootnoteTextChar">
    <w:name w:val="Footnote Text Char"/>
    <w:basedOn w:val="DefaultParagraphFont"/>
    <w:link w:val="FootnoteText"/>
    <w:rsid w:val="00116699"/>
    <w:rPr>
      <w:rFonts w:ascii="Calibri" w:hAnsi="Calibri"/>
      <w:sz w:val="20"/>
      <w:szCs w:val="20"/>
    </w:rPr>
  </w:style>
  <w:style w:type="character" w:styleId="FootnoteReference">
    <w:name w:val="footnote reference"/>
    <w:basedOn w:val="DefaultParagraphFont"/>
    <w:semiHidden/>
    <w:unhideWhenUsed/>
    <w:rsid w:val="00116699"/>
    <w:rPr>
      <w:vertAlign w:val="superscript"/>
    </w:rPr>
  </w:style>
  <w:style w:type="table" w:styleId="TableGrid">
    <w:name w:val="Table Grid"/>
    <w:basedOn w:val="TableNormal"/>
    <w:uiPriority w:val="59"/>
    <w:rsid w:val="00116699"/>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2022-03-31T07:27:00Z</dcterms:created>
  <dcterms:modified xsi:type="dcterms:W3CDTF">2022-03-31T08:53:00Z</dcterms:modified>
</cp:coreProperties>
</file>